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D5D33" w14:textId="77777777" w:rsidR="00AD0051" w:rsidRDefault="00F776F0"/>
    <w:p w14:paraId="2A5D5D34" w14:textId="77777777" w:rsidR="00053582" w:rsidRDefault="0005358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1156"/>
        <w:gridCol w:w="1560"/>
        <w:gridCol w:w="2693"/>
        <w:gridCol w:w="2410"/>
        <w:gridCol w:w="5635"/>
      </w:tblGrid>
      <w:tr w:rsidR="00F64A14" w:rsidRPr="00F776F0" w14:paraId="2A5D5D37" w14:textId="77777777" w:rsidTr="00E003C7">
        <w:tc>
          <w:tcPr>
            <w:tcW w:w="13994" w:type="dxa"/>
            <w:gridSpan w:val="6"/>
          </w:tcPr>
          <w:p w14:paraId="2A5D5D35" w14:textId="77777777" w:rsidR="00541785" w:rsidRPr="00F776F0" w:rsidRDefault="00541785" w:rsidP="00541785">
            <w:pPr>
              <w:spacing w:before="240"/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Nazwa dokumentu: Rejestry publiczne - dobre praktyki architektoniczne i legislacyjne [PROJEKT DOKUMENTU RZĄDOWEGO]</w:t>
            </w:r>
          </w:p>
          <w:p w14:paraId="2A5D5D36" w14:textId="77777777" w:rsidR="00541785" w:rsidRPr="00F776F0" w:rsidRDefault="00541785" w:rsidP="00541785"/>
        </w:tc>
      </w:tr>
      <w:tr w:rsidR="00F64A14" w:rsidRPr="00F776F0" w14:paraId="2A5D5D3E" w14:textId="77777777" w:rsidTr="00C50562">
        <w:tc>
          <w:tcPr>
            <w:tcW w:w="540" w:type="dxa"/>
            <w:vAlign w:val="center"/>
          </w:tcPr>
          <w:p w14:paraId="2A5D5D38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Lp.</w:t>
            </w:r>
          </w:p>
        </w:tc>
        <w:tc>
          <w:tcPr>
            <w:tcW w:w="1156" w:type="dxa"/>
            <w:vAlign w:val="center"/>
          </w:tcPr>
          <w:p w14:paraId="2A5D5D39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Organ wnoszący uwagi</w:t>
            </w:r>
          </w:p>
        </w:tc>
        <w:tc>
          <w:tcPr>
            <w:tcW w:w="1560" w:type="dxa"/>
            <w:vAlign w:val="center"/>
          </w:tcPr>
          <w:p w14:paraId="2A5D5D3A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Jednostka redakcyjna, do której wnoszone są uwagi</w:t>
            </w:r>
          </w:p>
        </w:tc>
        <w:tc>
          <w:tcPr>
            <w:tcW w:w="2693" w:type="dxa"/>
            <w:vAlign w:val="center"/>
          </w:tcPr>
          <w:p w14:paraId="2A5D5D3B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Treść uwagi</w:t>
            </w:r>
          </w:p>
        </w:tc>
        <w:tc>
          <w:tcPr>
            <w:tcW w:w="2410" w:type="dxa"/>
            <w:vAlign w:val="center"/>
          </w:tcPr>
          <w:p w14:paraId="2A5D5D3C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Propozycja zmian zapisu</w:t>
            </w:r>
          </w:p>
        </w:tc>
        <w:tc>
          <w:tcPr>
            <w:tcW w:w="5635" w:type="dxa"/>
            <w:vAlign w:val="center"/>
          </w:tcPr>
          <w:p w14:paraId="2A5D5D3D" w14:textId="77777777" w:rsidR="00F64A14" w:rsidRPr="00F776F0" w:rsidRDefault="00F64A14" w:rsidP="00541785">
            <w:pPr>
              <w:rPr>
                <w:b/>
                <w:szCs w:val="22"/>
              </w:rPr>
            </w:pPr>
            <w:r w:rsidRPr="00F776F0">
              <w:rPr>
                <w:b/>
                <w:szCs w:val="22"/>
              </w:rPr>
              <w:t>Odniesienie do uwagi</w:t>
            </w:r>
          </w:p>
        </w:tc>
      </w:tr>
      <w:tr w:rsidR="006A22D1" w14:paraId="2A5D5D50" w14:textId="77777777" w:rsidTr="00C50562">
        <w:tc>
          <w:tcPr>
            <w:tcW w:w="540" w:type="dxa"/>
          </w:tcPr>
          <w:p w14:paraId="2A5D5D3F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b/>
                <w:color w:val="000000" w:themeColor="text1"/>
                <w:u w:val="none"/>
              </w:rPr>
            </w:pPr>
            <w:r w:rsidRPr="00F776F0">
              <w:rPr>
                <w:b/>
                <w:color w:val="000000" w:themeColor="text1"/>
                <w:u w:val="none"/>
              </w:rPr>
              <w:t>1</w:t>
            </w:r>
          </w:p>
        </w:tc>
        <w:tc>
          <w:tcPr>
            <w:tcW w:w="1156" w:type="dxa"/>
          </w:tcPr>
          <w:p w14:paraId="2A5D5D40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b/>
                <w:color w:val="000000" w:themeColor="text1"/>
                <w:u w:val="none"/>
              </w:rPr>
            </w:pPr>
            <w:r w:rsidRPr="00F776F0">
              <w:rPr>
                <w:b/>
                <w:color w:val="000000" w:themeColor="text1"/>
                <w:u w:val="none"/>
              </w:rPr>
              <w:t xml:space="preserve">BPB, </w:t>
            </w:r>
            <w:proofErr w:type="spellStart"/>
            <w:r w:rsidRPr="00F776F0">
              <w:rPr>
                <w:b/>
                <w:color w:val="000000" w:themeColor="text1"/>
                <w:u w:val="none"/>
              </w:rPr>
              <w:t>MFiPR</w:t>
            </w:r>
            <w:proofErr w:type="spellEnd"/>
          </w:p>
        </w:tc>
        <w:tc>
          <w:tcPr>
            <w:tcW w:w="1560" w:type="dxa"/>
          </w:tcPr>
          <w:p w14:paraId="2A5D5D41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23 Administrator</w:t>
            </w:r>
          </w:p>
          <w:p w14:paraId="2A5D5D42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danych, Lista skrótów i definicji</w:t>
            </w:r>
          </w:p>
        </w:tc>
        <w:tc>
          <w:tcPr>
            <w:tcW w:w="2693" w:type="dxa"/>
          </w:tcPr>
          <w:p w14:paraId="2A5D5D43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Projekt dotyczy ogólnie rejestrów publicznych, ale nie każdy rejestr będzie prawdopodobnie przetwarzać dane osobowe (rejestry mogą dotyczyć np. obiektów, obszarów, urządzeń zwierząt itd.) dlatego zdaniem BPB w sposób nieuzasadniony Administratorowi danych „płynnie" przypisuje się cechy/regulacje wynikające z RODO</w:t>
            </w:r>
          </w:p>
        </w:tc>
        <w:tc>
          <w:tcPr>
            <w:tcW w:w="2410" w:type="dxa"/>
          </w:tcPr>
          <w:p w14:paraId="2A5D5D44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Proponujemy rozróżnić i zdefiniować Administratora danych, Administratora danych osobowych przetwarzanych w rejestrze, jak również Administratora „technicznego" utrzymującego rejestr w imieniu organu implementującego</w:t>
            </w:r>
          </w:p>
          <w:p w14:paraId="2A5D5D45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rejestr.</w:t>
            </w:r>
          </w:p>
        </w:tc>
        <w:tc>
          <w:tcPr>
            <w:tcW w:w="5635" w:type="dxa"/>
          </w:tcPr>
          <w:p w14:paraId="2A5D5D46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b/>
                <w:bCs/>
                <w:color w:val="000000" w:themeColor="text1"/>
                <w:u w:val="none"/>
              </w:rPr>
            </w:pPr>
            <w:r w:rsidRPr="00F776F0">
              <w:rPr>
                <w:b/>
                <w:bCs/>
                <w:color w:val="000000" w:themeColor="text1"/>
                <w:u w:val="none"/>
              </w:rPr>
              <w:t>Uwaga częściowo uwzględniona</w:t>
            </w:r>
          </w:p>
          <w:p w14:paraId="2A5D5D47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i/>
                <w:iCs/>
                <w:color w:val="000000" w:themeColor="text1"/>
                <w:u w:val="none"/>
              </w:rPr>
            </w:pPr>
            <w:r w:rsidRPr="00F776F0">
              <w:rPr>
                <w:i/>
                <w:iCs/>
                <w:color w:val="000000" w:themeColor="text1"/>
                <w:u w:val="none"/>
              </w:rPr>
              <w:t>(z uwzględnieniem także uwagi MSWIA dotyczącej punktu 23)</w:t>
            </w:r>
          </w:p>
          <w:p w14:paraId="2A5D5D48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Zmodyfikowano pkt 23, dodano przypisy i definicje do Słownika:</w:t>
            </w:r>
          </w:p>
          <w:p w14:paraId="2A5D5D49" w14:textId="77777777" w:rsidR="006A22D1" w:rsidRPr="00F776F0" w:rsidRDefault="006A22D1" w:rsidP="00C50562">
            <w:pPr>
              <w:pStyle w:val="Teksttreci0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„23.</w:t>
            </w:r>
            <w:r w:rsidRPr="00F776F0">
              <w:rPr>
                <w:color w:val="000000" w:themeColor="text1"/>
                <w:u w:val="none"/>
              </w:rPr>
              <w:tab/>
              <w:t xml:space="preserve">Administrator danych osobowych </w:t>
            </w:r>
          </w:p>
          <w:p w14:paraId="2A5D5D4A" w14:textId="77777777" w:rsidR="006A22D1" w:rsidRPr="00F776F0" w:rsidRDefault="006A22D1" w:rsidP="00C50562">
            <w:pPr>
              <w:pStyle w:val="Teksttreci0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a.</w:t>
            </w:r>
            <w:r w:rsidRPr="00F776F0">
              <w:rPr>
                <w:color w:val="000000" w:themeColor="text1"/>
                <w:u w:val="none"/>
              </w:rPr>
              <w:tab/>
              <w:t>W przepisach prawnych będących podstawą działania rejestru należy wskazać administratora (lub administratorów) danych osobowych gromadzonych w rejestrze, w rozumieniu „Administratora” zdefiniowanego w art. 4 pkt 7) RODO .</w:t>
            </w:r>
          </w:p>
          <w:p w14:paraId="2A5D5D4B" w14:textId="77777777" w:rsidR="006A22D1" w:rsidRPr="00F776F0" w:rsidRDefault="006A22D1" w:rsidP="00C50562">
            <w:pPr>
              <w:pStyle w:val="Teksttreci0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b.</w:t>
            </w:r>
            <w:r w:rsidRPr="00F776F0">
              <w:rPr>
                <w:color w:val="000000" w:themeColor="text1"/>
                <w:u w:val="none"/>
              </w:rPr>
              <w:tab/>
              <w:t>Należy pamiętać, że w przypadku przetwarzania danych w rejestrze przez wiele organów (w szczególności administracji rządowej i samorządowej), może dochodzić do współadministrowania. Należy również mieć na względzie, że współadministrowanie dotyczy sytuacji, gdy co najmniej dwóch administratorów ustala wspólnie sposoby i cele przetwarzania danych osobowych, a w drodze porozumienia o współadministrowaniu ustalają zakresy odpowiedzialności dotyczącej wykonywania obowiązków określonych w RODO, stosownie do art. 26 RODO.</w:t>
            </w:r>
          </w:p>
          <w:p w14:paraId="2A5D5D4C" w14:textId="77777777" w:rsidR="006A22D1" w:rsidRPr="00F776F0" w:rsidRDefault="006A22D1" w:rsidP="00C50562">
            <w:pPr>
              <w:pStyle w:val="Teksttreci0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c.</w:t>
            </w:r>
            <w:r w:rsidRPr="00F776F0">
              <w:rPr>
                <w:color w:val="000000" w:themeColor="text1"/>
                <w:u w:val="none"/>
              </w:rPr>
              <w:tab/>
              <w:t xml:space="preserve">Zagadnienia związane z istnieniem współadministrowania należy ocenić już na etapie tworzenia rejestru. </w:t>
            </w:r>
          </w:p>
          <w:p w14:paraId="2A5D5D4D" w14:textId="0D72CB7F" w:rsidR="006A22D1" w:rsidRPr="00F776F0" w:rsidRDefault="006A22D1" w:rsidP="00C50562">
            <w:pPr>
              <w:pStyle w:val="Teksttreci0"/>
              <w:shd w:val="clear" w:color="auto" w:fill="auto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lastRenderedPageBreak/>
              <w:t>d.</w:t>
            </w:r>
            <w:r w:rsidRPr="00F776F0">
              <w:rPr>
                <w:color w:val="000000" w:themeColor="text1"/>
                <w:u w:val="none"/>
              </w:rPr>
              <w:tab/>
              <w:t>Pojęcie Administratora, zdefiniowane w   Art. 4 pkt 7) RODO, ograniczone jest do administratora danych osobowych i używane jest w tym akcie prawnym jako skrót.  Ponieważ nie wszystkie dane przetwarzane w rejestrach są danymi osobowymi, rekomendowane jest doprecyzowanie tego pojęcia i używanie w innych aktach prawnych pojęcia „administrator danych osobowych” na określenie administratora w rozumieniu art. 4 pkt 7) RODO. W odniesieniu do administratora wszystkich danych przetwarzanych w rejestrze rekomendowane jest używanie pojęcia „administrator danych”.  Zagadnienie to jest tym bardziej istotne, że pojęcie „administrator” używane jest w informatyce w wielu innych kontekstach, w tym także w kontekście administratora technicznego systemów IT.</w:t>
            </w:r>
            <w:r w:rsidR="00C50562" w:rsidRPr="00F776F0">
              <w:rPr>
                <w:color w:val="000000" w:themeColor="text1"/>
                <w:u w:val="none"/>
              </w:rPr>
              <w:t>”</w:t>
            </w:r>
          </w:p>
          <w:p w14:paraId="07F58661" w14:textId="36F778A7" w:rsidR="00C50562" w:rsidRPr="00F776F0" w:rsidRDefault="00C50562" w:rsidP="00C50562">
            <w:pPr>
              <w:pStyle w:val="Teksttreci0"/>
              <w:shd w:val="clear" w:color="auto" w:fill="auto"/>
              <w:jc w:val="both"/>
              <w:rPr>
                <w:color w:val="000000" w:themeColor="text1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>„</w:t>
            </w:r>
          </w:p>
          <w:p w14:paraId="701E31DF" w14:textId="77777777" w:rsidR="00C50562" w:rsidRPr="00F776F0" w:rsidRDefault="00C50562" w:rsidP="00C50562">
            <w:pPr>
              <w:numPr>
                <w:ilvl w:val="0"/>
                <w:numId w:val="1"/>
              </w:numPr>
              <w:ind w:left="714" w:hanging="357"/>
              <w:jc w:val="both"/>
              <w:rPr>
                <w:szCs w:val="22"/>
              </w:rPr>
            </w:pPr>
            <w:r w:rsidRPr="00F776F0">
              <w:rPr>
                <w:b/>
                <w:bCs/>
                <w:szCs w:val="22"/>
              </w:rPr>
              <w:t xml:space="preserve">Administrator danych </w:t>
            </w:r>
            <w:r w:rsidRPr="00F776F0">
              <w:rPr>
                <w:szCs w:val="22"/>
              </w:rPr>
              <w:t>–</w:t>
            </w:r>
            <w:r w:rsidRPr="00F776F0">
              <w:rPr>
                <w:b/>
                <w:bCs/>
                <w:szCs w:val="22"/>
              </w:rPr>
              <w:t xml:space="preserve"> </w:t>
            </w:r>
            <w:r w:rsidRPr="00F776F0">
              <w:rPr>
                <w:szCs w:val="22"/>
              </w:rPr>
              <w:t>osoba fizyczna lub prawna, organ publiczny, jednostka lub inny podmiot, który samodzielnie lub wspólnie z innymi ustala cele i sposoby przetwarzania danych, w tym także administrator danych osobowych.</w:t>
            </w:r>
          </w:p>
          <w:p w14:paraId="516C3584" w14:textId="77777777" w:rsidR="00C50562" w:rsidRPr="00F776F0" w:rsidRDefault="00C50562" w:rsidP="00C50562">
            <w:pPr>
              <w:numPr>
                <w:ilvl w:val="0"/>
                <w:numId w:val="1"/>
              </w:numPr>
              <w:ind w:left="714" w:hanging="357"/>
              <w:jc w:val="both"/>
              <w:rPr>
                <w:szCs w:val="22"/>
              </w:rPr>
            </w:pPr>
            <w:r w:rsidRPr="00F776F0">
              <w:rPr>
                <w:b/>
                <w:bCs/>
                <w:szCs w:val="22"/>
              </w:rPr>
              <w:t xml:space="preserve">Administrator danych osobowych </w:t>
            </w:r>
            <w:r w:rsidRPr="00F776F0">
              <w:rPr>
                <w:szCs w:val="22"/>
              </w:rPr>
              <w:t xml:space="preserve">– </w:t>
            </w:r>
            <w:bookmarkStart w:id="0" w:name="_Hlk150962773"/>
            <w:r w:rsidRPr="00F776F0">
              <w:rPr>
                <w:szCs w:val="22"/>
              </w:rPr>
              <w:t>osoba fizyczna lub prawna, organ publiczny, jednostka lub inny podmiot, który samodzielnie lub wspólnie z innymi ustala cele i sposoby przetwarzania danych osobowych</w:t>
            </w:r>
            <w:bookmarkEnd w:id="0"/>
            <w:r w:rsidRPr="00F776F0">
              <w:rPr>
                <w:szCs w:val="22"/>
                <w:vertAlign w:val="superscript"/>
              </w:rPr>
              <w:footnoteReference w:id="1"/>
            </w:r>
            <w:r w:rsidRPr="00F776F0">
              <w:rPr>
                <w:szCs w:val="22"/>
              </w:rPr>
              <w:t xml:space="preserve">. </w:t>
            </w:r>
          </w:p>
          <w:p w14:paraId="3F4DEC62" w14:textId="26957420" w:rsidR="00C50562" w:rsidRPr="00F776F0" w:rsidRDefault="00C50562" w:rsidP="00C50562">
            <w:pPr>
              <w:spacing w:after="120"/>
              <w:ind w:left="708"/>
              <w:jc w:val="both"/>
              <w:rPr>
                <w:szCs w:val="22"/>
              </w:rPr>
            </w:pPr>
            <w:r w:rsidRPr="00F776F0">
              <w:rPr>
                <w:bCs/>
                <w:szCs w:val="22"/>
              </w:rPr>
              <w:t>Administrator danych osobowych musi</w:t>
            </w:r>
            <w:r w:rsidRPr="00F776F0">
              <w:rPr>
                <w:b/>
                <w:bCs/>
                <w:szCs w:val="22"/>
              </w:rPr>
              <w:t xml:space="preserve"> </w:t>
            </w:r>
            <w:r w:rsidRPr="00F776F0">
              <w:rPr>
                <w:szCs w:val="22"/>
              </w:rPr>
              <w:t>mieć podstawę prawną do przetwarzania danych osobowych (zgodne z art.6 ust 1 i art. 9 ust 2 RODO).”</w:t>
            </w:r>
          </w:p>
          <w:p w14:paraId="5C67A123" w14:textId="77777777" w:rsidR="00C50562" w:rsidRPr="00F776F0" w:rsidRDefault="00C50562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u w:val="none"/>
              </w:rPr>
            </w:pPr>
          </w:p>
          <w:p w14:paraId="2A5D5D4E" w14:textId="77777777" w:rsidR="006A22D1" w:rsidRPr="00F776F0" w:rsidRDefault="006A22D1" w:rsidP="006A22D1">
            <w:pPr>
              <w:pStyle w:val="Teksttreci0"/>
              <w:shd w:val="clear" w:color="auto" w:fill="auto"/>
              <w:jc w:val="left"/>
              <w:rPr>
                <w:b/>
                <w:bCs/>
                <w:color w:val="000000" w:themeColor="text1"/>
                <w:u w:val="none"/>
              </w:rPr>
            </w:pPr>
            <w:r w:rsidRPr="00F776F0">
              <w:rPr>
                <w:b/>
                <w:bCs/>
                <w:color w:val="000000" w:themeColor="text1"/>
                <w:u w:val="none"/>
              </w:rPr>
              <w:t xml:space="preserve">Prosimy </w:t>
            </w:r>
            <w:proofErr w:type="spellStart"/>
            <w:r w:rsidRPr="00F776F0">
              <w:rPr>
                <w:b/>
                <w:bCs/>
                <w:color w:val="000000" w:themeColor="text1"/>
                <w:u w:val="none"/>
              </w:rPr>
              <w:t>MFiPR</w:t>
            </w:r>
            <w:proofErr w:type="spellEnd"/>
            <w:r w:rsidRPr="00F776F0">
              <w:rPr>
                <w:b/>
                <w:bCs/>
                <w:color w:val="000000" w:themeColor="text1"/>
                <w:u w:val="none"/>
              </w:rPr>
              <w:t xml:space="preserve"> o doprecyzowanie drugiej części uwagi:</w:t>
            </w:r>
          </w:p>
          <w:p w14:paraId="2A5D5D4F" w14:textId="77777777" w:rsidR="006A22D1" w:rsidRPr="006A22D1" w:rsidRDefault="006A22D1" w:rsidP="006A22D1">
            <w:pPr>
              <w:pStyle w:val="Teksttreci0"/>
              <w:shd w:val="clear" w:color="auto" w:fill="auto"/>
              <w:jc w:val="left"/>
              <w:rPr>
                <w:color w:val="000000" w:themeColor="text1"/>
                <w:sz w:val="10"/>
                <w:szCs w:val="10"/>
                <w:u w:val="none"/>
              </w:rPr>
            </w:pPr>
            <w:r w:rsidRPr="00F776F0">
              <w:rPr>
                <w:color w:val="000000" w:themeColor="text1"/>
                <w:u w:val="none"/>
              </w:rPr>
              <w:t xml:space="preserve">Wyjaśnienie „utrzymywania rejestru w imieniu  organu implementującego rejestr” oraz o propozycję definicji pojęcia </w:t>
            </w:r>
            <w:r w:rsidRPr="00F776F0">
              <w:rPr>
                <w:color w:val="000000" w:themeColor="text1"/>
                <w:u w:val="none"/>
              </w:rPr>
              <w:lastRenderedPageBreak/>
              <w:t>administratora technicznego i propozycję treści rekomendacji  dotyczącej administratora technicznego</w:t>
            </w:r>
            <w:r w:rsidR="001A7923" w:rsidRPr="00F776F0">
              <w:rPr>
                <w:color w:val="000000" w:themeColor="text1"/>
                <w:u w:val="none"/>
              </w:rPr>
              <w:t>.</w:t>
            </w:r>
            <w:bookmarkStart w:id="2" w:name="_GoBack"/>
            <w:bookmarkEnd w:id="2"/>
          </w:p>
        </w:tc>
      </w:tr>
    </w:tbl>
    <w:p w14:paraId="2A5D5D51" w14:textId="77777777" w:rsidR="00053582" w:rsidRDefault="00053582"/>
    <w:sectPr w:rsidR="00053582" w:rsidSect="000535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D8940" w14:textId="77777777" w:rsidR="00C50562" w:rsidRDefault="00C50562" w:rsidP="00C50562">
      <w:pPr>
        <w:spacing w:after="0" w:line="240" w:lineRule="auto"/>
      </w:pPr>
      <w:r>
        <w:separator/>
      </w:r>
    </w:p>
  </w:endnote>
  <w:endnote w:type="continuationSeparator" w:id="0">
    <w:p w14:paraId="6E23D7E4" w14:textId="77777777" w:rsidR="00C50562" w:rsidRDefault="00C50562" w:rsidP="00C5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4ED08" w14:textId="77777777" w:rsidR="00C50562" w:rsidRDefault="00C50562" w:rsidP="00C50562">
      <w:pPr>
        <w:spacing w:after="0" w:line="240" w:lineRule="auto"/>
      </w:pPr>
      <w:r>
        <w:separator/>
      </w:r>
    </w:p>
  </w:footnote>
  <w:footnote w:type="continuationSeparator" w:id="0">
    <w:p w14:paraId="7E143DEE" w14:textId="77777777" w:rsidR="00C50562" w:rsidRDefault="00C50562" w:rsidP="00C50562">
      <w:pPr>
        <w:spacing w:after="0" w:line="240" w:lineRule="auto"/>
      </w:pPr>
      <w:r>
        <w:continuationSeparator/>
      </w:r>
    </w:p>
  </w:footnote>
  <w:footnote w:id="1">
    <w:p w14:paraId="2B7246DE" w14:textId="77777777" w:rsidR="00C50562" w:rsidRDefault="00C50562" w:rsidP="00C505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Definicja na podstawie definicji Administratora w Art. </w:t>
      </w:r>
      <w:bookmarkStart w:id="1" w:name="_Hlk150961399"/>
      <w:r>
        <w:t>4 pkt 7) RODO</w:t>
      </w:r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53BC1"/>
    <w:multiLevelType w:val="hybridMultilevel"/>
    <w:tmpl w:val="79007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82"/>
    <w:rsid w:val="00053582"/>
    <w:rsid w:val="00073480"/>
    <w:rsid w:val="001A7923"/>
    <w:rsid w:val="00232115"/>
    <w:rsid w:val="003F1D55"/>
    <w:rsid w:val="00454C7F"/>
    <w:rsid w:val="00541785"/>
    <w:rsid w:val="006A22D1"/>
    <w:rsid w:val="00B25819"/>
    <w:rsid w:val="00C50562"/>
    <w:rsid w:val="00C76996"/>
    <w:rsid w:val="00CB3DA4"/>
    <w:rsid w:val="00F64A14"/>
    <w:rsid w:val="00F7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5D33"/>
  <w15:chartTrackingRefBased/>
  <w15:docId w15:val="{4B3631A3-A511-41C6-B4F0-6B79DE9D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color w:val="0563C1" w:themeColor="hyperlink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D55"/>
    <w:rPr>
      <w:color w:val="auto"/>
      <w:sz w:val="22"/>
      <w:u w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basedOn w:val="Normalny"/>
    <w:next w:val="Normalny"/>
    <w:uiPriority w:val="99"/>
    <w:rsid w:val="00073480"/>
    <w:pPr>
      <w:spacing w:before="120" w:after="120" w:line="240" w:lineRule="auto"/>
      <w:ind w:left="1134" w:hanging="1134"/>
      <w:jc w:val="both"/>
    </w:pPr>
    <w:rPr>
      <w:rFonts w:ascii="Arial" w:eastAsia="Times New Roman" w:hAnsi="Arial" w:cs="Times New Roman"/>
      <w:lang w:eastAsia="pl-PL"/>
    </w:rPr>
  </w:style>
  <w:style w:type="table" w:styleId="Tabela-Siatka">
    <w:name w:val="Table Grid"/>
    <w:basedOn w:val="Standardowy"/>
    <w:uiPriority w:val="39"/>
    <w:rsid w:val="00053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uiPriority w:val="99"/>
    <w:locked/>
    <w:rsid w:val="006A22D1"/>
    <w:rPr>
      <w:rFonts w:ascii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6A22D1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6A22D1"/>
    <w:pPr>
      <w:shd w:val="clear" w:color="auto" w:fill="FFFFFF"/>
      <w:spacing w:after="0" w:line="240" w:lineRule="atLeast"/>
    </w:pPr>
    <w:rPr>
      <w:rFonts w:ascii="Calibri" w:hAnsi="Calibri" w:cs="Calibri"/>
      <w:b/>
      <w:bCs/>
      <w:color w:val="0563C1" w:themeColor="hyperlink"/>
      <w:sz w:val="21"/>
      <w:szCs w:val="21"/>
      <w:u w:val="single"/>
    </w:rPr>
  </w:style>
  <w:style w:type="paragraph" w:customStyle="1" w:styleId="Teksttreci0">
    <w:name w:val="Tekst treści"/>
    <w:basedOn w:val="Normalny"/>
    <w:link w:val="Teksttreci"/>
    <w:uiPriority w:val="99"/>
    <w:rsid w:val="006A22D1"/>
    <w:pPr>
      <w:shd w:val="clear" w:color="auto" w:fill="FFFFFF"/>
      <w:spacing w:after="0" w:line="269" w:lineRule="exact"/>
      <w:jc w:val="center"/>
    </w:pPr>
    <w:rPr>
      <w:rFonts w:ascii="Calibri" w:hAnsi="Calibri" w:cs="Calibri"/>
      <w:color w:val="0563C1" w:themeColor="hyperlink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0562"/>
    <w:pPr>
      <w:spacing w:after="0" w:line="240" w:lineRule="auto"/>
    </w:pPr>
    <w:rPr>
      <w:rFonts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0562"/>
    <w:rPr>
      <w:rFonts w:cstheme="minorBidi"/>
      <w:color w:val="auto"/>
      <w:u w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5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33EXR6SS6JYP-403295686-2281</_dlc_DocId>
    <_dlc_DocIdUrl xmlns="3a019021-2db9-4573-874a-1cac295e69ae">
      <Url>http://docs.mc.gov.pl/org/dep/pit/aip/_layouts/15/DocIdRedir.aspx?ID=33EXR6SS6JYP-403295686-2281</Url>
      <Description>33EXR6SS6JYP-403295686-2281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04154DECDB74EAD6BD5471FBA0BCD" ma:contentTypeVersion="1" ma:contentTypeDescription="Utwórz nowy dokument." ma:contentTypeScope="" ma:versionID="9f41e04bdb30bca1eaa67b16246aaabb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C8252-BC75-490B-9BD5-8E811696D38F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3a019021-2db9-4573-874a-1cac295e69ae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BBE1FA1-2123-4429-A123-EF0408D88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37C32C-110C-4AAC-A1EF-561AB99A64A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18038A-EC3E-49BB-A91D-C545442285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Kamieńska Ida</dc:creator>
  <cp:keywords/>
  <dc:description/>
  <cp:lastModifiedBy>Kamieńska Ida</cp:lastModifiedBy>
  <cp:revision>8</cp:revision>
  <dcterms:created xsi:type="dcterms:W3CDTF">2023-11-16T11:40:00Z</dcterms:created>
  <dcterms:modified xsi:type="dcterms:W3CDTF">2023-11-21T09:47:00Z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0x01010016B04154DECDB74EAD6BD5471FBA0BCD</vt:lpwstr>
  </property>
  <property fmtid="{D5CDD505-2E9C-101B-9397-08002B2CF9AE}" pid="3" name="_dlc_DocIdItemGuid">
    <vt:lpwstr>ab9a4e93-1e40-4d4d-ba54-da8c9814f059</vt:lpwstr>
  </property>
</Properties>
</file>